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A6" w:rsidRDefault="0081598D">
      <w:pPr>
        <w:pStyle w:val="Standard"/>
        <w:jc w:val="both"/>
        <w:rPr>
          <w:rFonts w:hint="eastAsia"/>
        </w:rPr>
      </w:pPr>
      <w:bookmarkStart w:id="0" w:name="_GoBack"/>
      <w:bookmarkEnd w:id="0"/>
      <w:r>
        <w:t>Documentos para registro de bem de família, artigo 388 da CNNR_CGJ.</w:t>
      </w:r>
    </w:p>
    <w:p w:rsidR="00DB5AA6" w:rsidRDefault="0081598D">
      <w:pPr>
        <w:pStyle w:val="Standard"/>
        <w:jc w:val="both"/>
        <w:rPr>
          <w:rFonts w:hint="eastAsia"/>
        </w:rPr>
      </w:pPr>
      <w:r>
        <w:t>- Escritura Pública de constituição de bem de família, artigos 388 da CNNR_CGJ e 108 do CC.</w:t>
      </w:r>
    </w:p>
    <w:p w:rsidR="00DB5AA6" w:rsidRDefault="0081598D">
      <w:pPr>
        <w:pStyle w:val="Standard"/>
        <w:jc w:val="both"/>
        <w:rPr>
          <w:rFonts w:hint="eastAsia"/>
        </w:rPr>
      </w:pPr>
      <w:r>
        <w:t xml:space="preserve">Obs. O registro é </w:t>
      </w:r>
      <w:r>
        <w:t>realizado após 30 dias da publicação do edital.</w:t>
      </w:r>
    </w:p>
    <w:sectPr w:rsidR="00DB5A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598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159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59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159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5AA6"/>
    <w:rsid w:val="0081598D"/>
    <w:rsid w:val="00D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ADDF1-65E0-4C8E-9BE6-7D8B862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Matheus</cp:lastModifiedBy>
  <cp:revision>2</cp:revision>
  <dcterms:created xsi:type="dcterms:W3CDTF">2023-07-14T14:12:00Z</dcterms:created>
  <dcterms:modified xsi:type="dcterms:W3CDTF">2023-07-14T14:12:00Z</dcterms:modified>
</cp:coreProperties>
</file>